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western"/>
        <w:pBdr>
          <w:bottom w:val="single" w:sz="4" w:space="1" w:color="auto"/>
        </w:pBdr>
        <w:suppressAutoHyphens/>
        <w:spacing w:before="0"/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DAE_IRVE_2024</w:t>
      </w:r>
    </w:p>
    <w:p>
      <w:pPr>
        <w:suppressAutoHyphens/>
        <w:spacing w:after="0" w:line="240" w:lineRule="auto"/>
        <w:rPr>
          <w:sz w:val="12"/>
        </w:rPr>
      </w:pPr>
    </w:p>
    <w:p>
      <w:pPr>
        <w:pStyle w:val="Standard"/>
        <w:ind w:left="142"/>
        <w:jc w:val="center"/>
        <w:rPr>
          <w:rFonts w:ascii="Marianne" w:hAnsi="Marianne" w:cs="Arial"/>
          <w:b/>
          <w:bCs/>
          <w:caps/>
          <w:sz w:val="16"/>
          <w:szCs w:val="20"/>
        </w:rPr>
      </w:pPr>
    </w:p>
    <w:p>
      <w:pPr>
        <w:suppressAutoHyphens/>
        <w:spacing w:after="0" w:line="240" w:lineRule="auto"/>
        <w:jc w:val="center"/>
        <w:rPr>
          <w:rStyle w:val="Numrodepage"/>
          <w:bCs/>
          <w:smallCaps/>
          <w:color w:val="808080"/>
          <w:sz w:val="40"/>
        </w:rPr>
      </w:pPr>
      <w:r>
        <w:rPr>
          <w:rStyle w:val="Numrodepage"/>
          <w:bCs/>
          <w:smallCaps/>
          <w:color w:val="808080"/>
          <w:sz w:val="40"/>
        </w:rPr>
        <w:t>ORDRE DE PRÉFÉRENCE D’ATTRIBUTION DES LOTS</w:t>
      </w:r>
    </w:p>
    <w:p>
      <w:pPr>
        <w:pStyle w:val="western"/>
        <w:suppressAutoHyphens/>
        <w:spacing w:before="0"/>
        <w:jc w:val="center"/>
        <w:rPr>
          <w:rFonts w:ascii="Marianne" w:hAnsi="Marianne"/>
          <w:sz w:val="24"/>
          <w:szCs w:val="24"/>
        </w:rPr>
      </w:pPr>
      <w:r>
        <w:rPr>
          <w:rFonts w:ascii="Marianne" w:hAnsi="Marianne"/>
        </w:rPr>
        <w:t>Article 4.2 du RC</w:t>
      </w:r>
    </w:p>
    <w:p>
      <w:pPr>
        <w:pStyle w:val="Standard"/>
        <w:pBdr>
          <w:bottom w:val="single" w:sz="4" w:space="1" w:color="auto"/>
        </w:pBdr>
        <w:ind w:left="142"/>
        <w:jc w:val="center"/>
        <w:rPr>
          <w:rFonts w:ascii="Marianne" w:hAnsi="Marianne"/>
          <w:b/>
          <w:bCs/>
          <w:color w:val="000000" w:themeColor="text1"/>
          <w:sz w:val="20"/>
          <w:szCs w:val="20"/>
        </w:rPr>
      </w:pPr>
      <w:r>
        <w:rPr>
          <w:rFonts w:ascii="Marianne" w:hAnsi="Marianne"/>
          <w:b/>
          <w:bCs/>
          <w:color w:val="000000" w:themeColor="text1"/>
          <w:sz w:val="20"/>
          <w:szCs w:val="20"/>
        </w:rPr>
        <w:t>À servir par le soumissionnaire et à joindre à l’offre</w:t>
      </w:r>
    </w:p>
    <w:p>
      <w:pPr>
        <w:suppressAutoHyphens/>
        <w:spacing w:after="0" w:line="240" w:lineRule="auto"/>
        <w:rPr>
          <w:rFonts w:eastAsia="Times New Roman" w:cs="Arial"/>
          <w:szCs w:val="20"/>
          <w:lang w:eastAsia="fr-FR"/>
        </w:rPr>
      </w:pPr>
    </w:p>
    <w:p>
      <w:pPr>
        <w:pStyle w:val="Standard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  <w:u w:val="single"/>
        </w:rPr>
        <w:t>Rappel du système</w:t>
      </w:r>
      <w:r>
        <w:rPr>
          <w:rFonts w:ascii="Marianne" w:hAnsi="Marianne"/>
          <w:b/>
          <w:bCs/>
          <w:sz w:val="20"/>
          <w:szCs w:val="20"/>
        </w:rPr>
        <w:t xml:space="preserve"> : </w:t>
      </w:r>
    </w:p>
    <w:p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before="120" w:after="0" w:line="240" w:lineRule="auto"/>
        <w:rPr>
          <w:rFonts w:eastAsia="Arial" w:cs="Arial"/>
          <w:color w:val="000000"/>
          <w:szCs w:val="24"/>
          <w:shd w:val="clear" w:color="auto" w:fill="FFFFFF"/>
          <w:lang w:eastAsia="ja-JP" w:bidi="fa-IR"/>
        </w:rPr>
      </w:pPr>
      <w:r>
        <w:rPr>
          <w:rFonts w:eastAsia="Arial" w:cs="Arial"/>
          <w:color w:val="000000"/>
          <w:szCs w:val="24"/>
          <w:shd w:val="clear" w:color="auto" w:fill="FFFFFF"/>
          <w:lang w:eastAsia="ja-JP" w:bidi="fa-IR"/>
        </w:rPr>
        <w:t xml:space="preserve">Les candidats qui soumissionnent au lot n°1 ne peuvent pas soumissionner aux lots n°2, 3 et 4. </w:t>
      </w:r>
    </w:p>
    <w:p>
      <w:pPr>
        <w:pStyle w:val="Standard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En revanche, les soumissionnaires qui souhaitent déposer une offre pour les lots n°2, 3 et 4 sont libres de présenter une offre pour chacun de ces lots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 xml:space="preserve">Pour les lots 2, 3 et 4, l’accord-cadre comportant une clause de limitation du nombre de lots pouvant être attribués à une même entreprise, le nombre de lots pouvant être attribués à un même candidat </w:t>
      </w:r>
      <w:proofErr w:type="gramStart"/>
      <w:r>
        <w:rPr>
          <w:rFonts w:ascii="Marianne" w:hAnsi="Marianne"/>
          <w:sz w:val="20"/>
          <w:szCs w:val="20"/>
          <w:lang w:eastAsia="fr-FR"/>
        </w:rPr>
        <w:t>est</w:t>
      </w:r>
      <w:proofErr w:type="gramEnd"/>
      <w:r>
        <w:rPr>
          <w:rFonts w:ascii="Marianne" w:hAnsi="Marianne"/>
          <w:sz w:val="20"/>
          <w:szCs w:val="20"/>
          <w:lang w:eastAsia="fr-FR"/>
        </w:rPr>
        <w:t xml:space="preserve"> limité à </w:t>
      </w:r>
      <w:r>
        <w:rPr>
          <w:rFonts w:ascii="Marianne" w:hAnsi="Marianne"/>
          <w:b/>
          <w:sz w:val="20"/>
          <w:szCs w:val="20"/>
          <w:lang w:eastAsia="fr-FR"/>
        </w:rPr>
        <w:t>1 (un)</w:t>
      </w:r>
      <w:r>
        <w:rPr>
          <w:rFonts w:ascii="Marianne" w:hAnsi="Marianne"/>
          <w:sz w:val="20"/>
          <w:szCs w:val="20"/>
          <w:lang w:eastAsia="fr-FR"/>
        </w:rPr>
        <w:t xml:space="preserve"> </w:t>
      </w:r>
      <w:r>
        <w:rPr>
          <w:rFonts w:ascii="Marianne" w:hAnsi="Marianne"/>
          <w:b/>
          <w:sz w:val="20"/>
          <w:szCs w:val="20"/>
          <w:lang w:eastAsia="fr-FR"/>
        </w:rPr>
        <w:t xml:space="preserve">lot. </w:t>
      </w:r>
      <w:r>
        <w:rPr>
          <w:rFonts w:ascii="Marianne" w:hAnsi="Marianne"/>
          <w:sz w:val="20"/>
          <w:szCs w:val="20"/>
          <w:lang w:eastAsia="fr-FR"/>
        </w:rPr>
        <w:t>Ainsi, l’attributaire du lot 2 ne pourra pas être également attributaire du lot 3 ou 4,</w:t>
      </w:r>
      <w:r>
        <w:rPr>
          <w:rFonts w:ascii="Marianne" w:hAnsi="Marianne"/>
          <w:b/>
          <w:sz w:val="20"/>
          <w:szCs w:val="20"/>
          <w:lang w:eastAsia="fr-FR"/>
        </w:rPr>
        <w:t xml:space="preserve"> </w:t>
      </w:r>
      <w:r>
        <w:rPr>
          <w:rFonts w:ascii="Marianne" w:hAnsi="Marianne"/>
          <w:sz w:val="20"/>
          <w:szCs w:val="20"/>
          <w:lang w:eastAsia="fr-FR"/>
        </w:rPr>
        <w:t>hormis dans le cas où le nombre d’attributaires serait inférieur à celui prévu par les pièces de la consultation. Dans ce cas particulier, les deux ou trois lots considérés pourront être attribués à un même candidat, dans les conditions prévues à l’article 4.2 du règlement de consultation.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  <w:lang w:eastAsia="fr-FR"/>
        </w:rPr>
        <w:t xml:space="preserve">Les soumissionnaires qui déposent une offre pour ces 3 lots indiquent l’ordre de préférence d’attribution des lots dans la présente annexe qui est obligatoirement remise </w:t>
      </w:r>
      <w:r>
        <w:rPr>
          <w:rFonts w:ascii="Marianne" w:hAnsi="Marianne"/>
          <w:b/>
          <w:sz w:val="20"/>
          <w:szCs w:val="20"/>
          <w:u w:val="single"/>
          <w:lang w:eastAsia="fr-FR"/>
        </w:rPr>
        <w:t>au moment</w:t>
      </w:r>
      <w:r>
        <w:rPr>
          <w:rFonts w:ascii="Marianne" w:hAnsi="Marianne"/>
          <w:sz w:val="20"/>
          <w:szCs w:val="20"/>
          <w:u w:val="single"/>
          <w:lang w:eastAsia="fr-FR"/>
        </w:rPr>
        <w:t xml:space="preserve"> </w:t>
      </w:r>
      <w:r>
        <w:rPr>
          <w:rFonts w:ascii="Marianne" w:hAnsi="Marianne"/>
          <w:b/>
          <w:bCs/>
          <w:sz w:val="20"/>
          <w:szCs w:val="20"/>
          <w:u w:val="single"/>
          <w:lang w:eastAsia="fr-FR"/>
        </w:rPr>
        <w:t>du dépôt de l’offre</w:t>
      </w:r>
      <w:r>
        <w:rPr>
          <w:rFonts w:ascii="Marianne" w:hAnsi="Marianne"/>
          <w:sz w:val="20"/>
          <w:szCs w:val="20"/>
          <w:lang w:eastAsia="fr-FR"/>
        </w:rPr>
        <w:t>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Le classement est effectué suivant les notes obtenues au regard des critères de jugement des offres.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  <w:r>
        <w:rPr>
          <w:rFonts w:ascii="Marianne" w:hAnsi="Marianne"/>
          <w:sz w:val="20"/>
          <w:szCs w:val="20"/>
          <w:lang w:eastAsia="fr-FR"/>
        </w:rPr>
        <w:t>Le lot qui n’aurait pas pu être attribué à un soumissionnaire du fait de la règle de non cumul sera attribué au candidat suivant du classement de l’analyse des offres pour le lot considéré.</w:t>
      </w:r>
    </w:p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90"/>
        <w:gridCol w:w="6338"/>
      </w:tblGrid>
      <w:tr>
        <w:tc>
          <w:tcPr>
            <w:tcW w:w="3290" w:type="dxa"/>
            <w:shd w:val="clear" w:color="auto" w:fill="BFBFBF" w:themeFill="background1" w:themeFillShade="BF"/>
          </w:tcPr>
          <w:p>
            <w:pPr>
              <w:pStyle w:val="Standard"/>
              <w:rPr>
                <w:rFonts w:ascii="Marianne" w:hAnsi="Marianne"/>
                <w:b/>
                <w:bCs/>
                <w:color w:val="00000A"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b/>
                <w:bCs/>
                <w:color w:val="00000A"/>
                <w:sz w:val="20"/>
                <w:szCs w:val="20"/>
                <w:lang w:eastAsia="fr-FR"/>
              </w:rPr>
              <w:t xml:space="preserve">NOM DU SOUMISSIONNAIRE : </w:t>
            </w:r>
          </w:p>
        </w:tc>
        <w:tc>
          <w:tcPr>
            <w:tcW w:w="6338" w:type="dxa"/>
            <w:shd w:val="clear" w:color="auto" w:fill="BFBFBF" w:themeFill="background1" w:themeFillShade="BF"/>
          </w:tcPr>
          <w:p>
            <w:pPr>
              <w:pStyle w:val="Standard"/>
              <w:rPr>
                <w:rFonts w:ascii="Marianne" w:hAnsi="Marianne"/>
                <w:b/>
                <w:bCs/>
                <w:color w:val="00000A"/>
                <w:sz w:val="20"/>
                <w:szCs w:val="20"/>
                <w:lang w:eastAsia="fr-FR"/>
              </w:rPr>
            </w:pPr>
          </w:p>
        </w:tc>
      </w:tr>
    </w:tbl>
    <w:p>
      <w:pPr>
        <w:pStyle w:val="Standard"/>
        <w:jc w:val="both"/>
        <w:rPr>
          <w:rFonts w:ascii="Marianne" w:hAnsi="Marianne"/>
          <w:sz w:val="20"/>
          <w:szCs w:val="20"/>
          <w:lang w:eastAsia="fr-FR"/>
        </w:rPr>
      </w:pPr>
    </w:p>
    <w:tbl>
      <w:tblPr>
        <w:tblW w:w="5000" w:type="pct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513"/>
        <w:gridCol w:w="1406"/>
      </w:tblGrid>
      <w:tr>
        <w:trPr>
          <w:trHeight w:val="598"/>
          <w:tblHeader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pStyle w:val="Standard"/>
              <w:jc w:val="center"/>
              <w:rPr>
                <w:rFonts w:ascii="Marianne" w:hAnsi="Marianne"/>
                <w:b/>
                <w:bCs/>
                <w:color w:val="00000A"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b/>
                <w:bCs/>
                <w:color w:val="00000A"/>
                <w:sz w:val="20"/>
                <w:szCs w:val="20"/>
                <w:lang w:eastAsia="fr-FR"/>
              </w:rPr>
              <w:t>LOT N°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BFBFBF" w:themeFill="background1" w:themeFillShade="BF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pStyle w:val="Standard"/>
              <w:jc w:val="center"/>
              <w:rPr>
                <w:rFonts w:ascii="Marianne" w:hAnsi="Marianne"/>
                <w:b/>
                <w:bCs/>
                <w:color w:val="00000A"/>
                <w:sz w:val="20"/>
                <w:szCs w:val="20"/>
                <w:lang w:eastAsia="fr-FR"/>
              </w:rPr>
            </w:pPr>
            <w:r>
              <w:rPr>
                <w:rFonts w:ascii="Marianne" w:hAnsi="Marianne"/>
                <w:b/>
                <w:bCs/>
                <w:color w:val="00000A"/>
                <w:sz w:val="20"/>
                <w:szCs w:val="20"/>
                <w:lang w:eastAsia="fr-FR"/>
              </w:rPr>
              <w:t>Intitulés des lots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pStyle w:val="Standard"/>
              <w:jc w:val="center"/>
              <w:rPr>
                <w:rFonts w:ascii="Marianne" w:hAnsi="Marianne"/>
                <w:b/>
                <w:bCs/>
                <w:color w:val="00000A"/>
                <w:sz w:val="20"/>
                <w:szCs w:val="20"/>
                <w:shd w:val="clear" w:color="auto" w:fill="FFFF00"/>
                <w:lang w:eastAsia="fr-FR"/>
              </w:rPr>
            </w:pPr>
            <w:r>
              <w:rPr>
                <w:rFonts w:ascii="Marianne" w:hAnsi="Marianne"/>
                <w:b/>
                <w:bCs/>
                <w:color w:val="00000A"/>
                <w:sz w:val="20"/>
                <w:szCs w:val="20"/>
                <w:lang w:eastAsia="fr-FR"/>
              </w:rPr>
              <w:t>Ordre de préférence</w:t>
            </w:r>
          </w:p>
        </w:tc>
      </w:tr>
      <w:tr>
        <w:trPr>
          <w:trHeight w:val="2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pStyle w:val="Standard"/>
              <w:jc w:val="center"/>
              <w:rPr>
                <w:rFonts w:ascii="Marianne" w:hAnsi="Marianne" w:cs="Arial"/>
                <w:color w:val="00000A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color w:val="00000A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0" w:type="dxa"/>
              <w:left w:w="105" w:type="dxa"/>
              <w:bottom w:w="100" w:type="dxa"/>
              <w:right w:w="100" w:type="dxa"/>
            </w:tcMar>
          </w:tcPr>
          <w:p>
            <w:pPr>
              <w:suppressAutoHyphens/>
              <w:spacing w:after="0" w:line="240" w:lineRule="auto"/>
              <w:rPr>
                <w:rFonts w:cs="Arial"/>
                <w:szCs w:val="20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Fourniture, installation, maintenance et supervision des bornes - Plaque 1 : régions Normandie, Bretagne, Hauts-de-France, Grand-Est, Bourgogne-Franche-Comté, Centre-Val-de-Loire, Pays-de-la-Loire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pStyle w:val="Standard"/>
              <w:jc w:val="center"/>
              <w:rPr>
                <w:rFonts w:ascii="Marianne" w:hAnsi="Marianne"/>
                <w:color w:val="00000A"/>
                <w:sz w:val="20"/>
                <w:szCs w:val="20"/>
                <w:shd w:val="clear" w:color="auto" w:fill="FFFF00"/>
                <w:lang w:eastAsia="fr-FR"/>
              </w:rPr>
            </w:pPr>
          </w:p>
        </w:tc>
      </w:tr>
      <w:tr>
        <w:trPr>
          <w:trHeight w:val="11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pStyle w:val="Standard"/>
              <w:jc w:val="center"/>
              <w:rPr>
                <w:rFonts w:ascii="Marianne" w:hAnsi="Marianne" w:cs="Arial"/>
                <w:color w:val="00000A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color w:val="00000A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suppressAutoHyphens/>
              <w:spacing w:after="0" w:line="240" w:lineRule="auto"/>
              <w:rPr>
                <w:rFonts w:eastAsia="Times New Roman" w:cs="Times New Roman"/>
                <w:szCs w:val="20"/>
                <w:lang w:eastAsia="fr-FR"/>
              </w:rPr>
            </w:pPr>
            <w:bookmarkStart w:id="0" w:name="_Hlk173503354"/>
            <w:r>
              <w:rPr>
                <w:rFonts w:eastAsia="Times New Roman" w:cs="Times New Roman"/>
                <w:szCs w:val="20"/>
                <w:lang w:eastAsia="fr-FR"/>
              </w:rPr>
              <w:t xml:space="preserve">Fourniture, installation, maintenance et supervision des bornes </w:t>
            </w:r>
            <w:bookmarkEnd w:id="0"/>
            <w:r>
              <w:rPr>
                <w:rFonts w:eastAsia="Times New Roman" w:cs="Times New Roman"/>
                <w:szCs w:val="20"/>
                <w:lang w:eastAsia="fr-FR"/>
              </w:rPr>
              <w:t>- Plaque 2 : régions Auvergne-Rhône-Alpes, Provence-Alpes-Côte d'Azur, Occitanie, Nouvelle-Aquitaine, Corse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pStyle w:val="Standard"/>
              <w:jc w:val="center"/>
              <w:rPr>
                <w:rFonts w:ascii="Marianne" w:hAnsi="Marianne"/>
                <w:color w:val="00000A"/>
                <w:sz w:val="20"/>
                <w:szCs w:val="20"/>
                <w:shd w:val="clear" w:color="auto" w:fill="FFFF00"/>
                <w:lang w:eastAsia="fr-FR"/>
              </w:rPr>
            </w:pPr>
          </w:p>
        </w:tc>
      </w:tr>
      <w:tr>
        <w:trPr>
          <w:trHeight w:val="11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pStyle w:val="Standard"/>
              <w:jc w:val="center"/>
              <w:rPr>
                <w:rFonts w:ascii="Marianne" w:hAnsi="Marianne" w:cs="Arial"/>
                <w:color w:val="00000A"/>
                <w:sz w:val="20"/>
                <w:szCs w:val="20"/>
                <w:lang w:eastAsia="fr-FR"/>
              </w:rPr>
            </w:pPr>
            <w:r>
              <w:rPr>
                <w:rFonts w:ascii="Marianne" w:hAnsi="Marianne" w:cs="Arial"/>
                <w:color w:val="00000A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suppressAutoHyphens/>
              <w:spacing w:after="0" w:line="240" w:lineRule="auto"/>
              <w:rPr>
                <w:rFonts w:eastAsia="Times New Roman" w:cs="Times New Roman"/>
                <w:szCs w:val="20"/>
                <w:lang w:eastAsia="fr-FR"/>
              </w:rPr>
            </w:pPr>
            <w:r>
              <w:rPr>
                <w:rFonts w:eastAsia="Times New Roman" w:cs="Times New Roman"/>
                <w:szCs w:val="20"/>
                <w:lang w:eastAsia="fr-FR"/>
              </w:rPr>
              <w:t>Fourniture, installation, maintenance et supervision des bornes - Plaque 3 : région Ile-de-France</w:t>
            </w:r>
          </w:p>
        </w:tc>
        <w:tc>
          <w:tcPr>
            <w:tcW w:w="1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100" w:type="dxa"/>
              <w:left w:w="105" w:type="dxa"/>
              <w:bottom w:w="100" w:type="dxa"/>
              <w:right w:w="100" w:type="dxa"/>
            </w:tcMar>
            <w:vAlign w:val="center"/>
          </w:tcPr>
          <w:p>
            <w:pPr>
              <w:pStyle w:val="Standard"/>
              <w:jc w:val="center"/>
              <w:rPr>
                <w:rFonts w:ascii="Marianne" w:hAnsi="Marianne"/>
                <w:color w:val="00000A"/>
                <w:sz w:val="20"/>
                <w:szCs w:val="20"/>
                <w:shd w:val="clear" w:color="auto" w:fill="FFFF00"/>
                <w:lang w:eastAsia="fr-FR"/>
              </w:rPr>
            </w:pPr>
          </w:p>
        </w:tc>
      </w:tr>
    </w:tbl>
    <w:p>
      <w:pPr>
        <w:spacing w:after="0" w:line="240" w:lineRule="auto"/>
        <w:rPr>
          <w:szCs w:val="20"/>
        </w:rPr>
      </w:pPr>
    </w:p>
    <w:p>
      <w:pPr>
        <w:rPr>
          <w:szCs w:val="20"/>
        </w:rPr>
      </w:pPr>
    </w:p>
    <w:p>
      <w:pPr>
        <w:tabs>
          <w:tab w:val="left" w:pos="1350"/>
        </w:tabs>
        <w:rPr>
          <w:szCs w:val="20"/>
        </w:rPr>
      </w:pPr>
      <w:r>
        <w:rPr>
          <w:szCs w:val="20"/>
        </w:rPr>
        <w:tab/>
      </w:r>
    </w:p>
    <w:sectPr>
      <w:footerReference w:type="default" r:id="rId6"/>
      <w:headerReference w:type="first" r:id="rId7"/>
      <w:footerReference w:type="first" r:id="rId8"/>
      <w:pgSz w:w="11906" w:h="16838"/>
      <w:pgMar w:top="1418" w:right="1134" w:bottom="567" w:left="1134" w:header="283" w:footer="4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pBdr>
        <w:top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RC N° </w:t>
    </w:r>
    <w:r>
      <w:rPr>
        <w:rFonts w:ascii="Arial" w:eastAsia="Times New Roman" w:hAnsi="Arial" w:cs="Arial"/>
        <w:b/>
        <w:bCs/>
        <w:sz w:val="16"/>
        <w:szCs w:val="16"/>
        <w:lang w:eastAsia="fr-FR"/>
      </w:rPr>
      <w:t>AC_DAE_2022_CEE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ptab w:relativeTo="margin" w:alignment="center" w:leader="none"/>
    </w:r>
    <w:r>
      <w:rPr>
        <w:rFonts w:ascii="Arial" w:hAnsi="Arial" w:cs="Arial"/>
        <w:sz w:val="16"/>
        <w:szCs w:val="16"/>
      </w:rPr>
      <w:ptab w:relativeTo="margin" w:alignment="right" w:leader="none"/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\* Arabic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\* Arabic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1</w:t>
    </w:r>
    <w:r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tabs>
        <w:tab w:val="clear" w:pos="4536"/>
        <w:tab w:val="clear" w:pos="9072"/>
        <w:tab w:val="right" w:pos="9638"/>
      </w:tabs>
      <w:rPr>
        <w:rFonts w:asciiTheme="minorHAnsi" w:hAnsiTheme="minorHAnsi"/>
        <w:sz w:val="22"/>
      </w:rPr>
    </w:pPr>
    <w:r>
      <w:rPr>
        <w:rFonts w:asciiTheme="minorHAnsi" w:hAnsiTheme="minorHAnsi"/>
        <w:sz w:val="22"/>
      </w:rPr>
      <w:t>DAE_IRVE_2024</w:t>
    </w:r>
    <w:r>
      <w:rPr>
        <w:rFonts w:asciiTheme="minorHAnsi" w:hAnsiTheme="minorHAnsi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Intituldirection"/>
      <w:jc w:val="left"/>
      <w:rPr>
        <w:rFonts w:ascii="Calibri Light" w:hAnsi="Calibri Light"/>
        <w:lang w:val="fr-FR"/>
      </w:rPr>
    </w:pPr>
    <w:r>
      <w:rPr>
        <w:noProof/>
      </w:rPr>
      <w:drawing>
        <wp:inline distT="0" distB="0" distL="0" distR="0">
          <wp:extent cx="1337283" cy="72880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6268" cy="7391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 Light" w:hAnsi="Calibri Light"/>
        <w:lang w:val="fr-FR"/>
      </w:rPr>
      <w:t xml:space="preserve">                                                                                      Direction des achats de l’État</w:t>
    </w:r>
  </w:p>
  <w:p>
    <w:pPr>
      <w:pStyle w:val="Intituldirection"/>
      <w:rPr>
        <w:lang w:val="fr-FR"/>
      </w:rPr>
    </w:pPr>
  </w:p>
  <w:p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  <w15:chartTrackingRefBased/>
  <w15:docId w15:val="{6B99641A-93AB-4EFE-87E6-C0A719ED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 w:line="276" w:lineRule="auto"/>
      <w:jc w:val="both"/>
    </w:pPr>
    <w:rPr>
      <w:rFonts w:ascii="Marianne" w:hAnsi="Marianne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link w:val="StandardCar"/>
    <w:qFormat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En-tte">
    <w:name w:val="header"/>
    <w:aliases w:val="En-tête1,E.e"/>
    <w:basedOn w:val="Normal"/>
    <w:link w:val="En-tteC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"/>
    <w:basedOn w:val="Policepardfaut"/>
    <w:link w:val="En-tte"/>
    <w:rPr>
      <w:rFonts w:ascii="Marianne" w:hAnsi="Marianne"/>
      <w:sz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Marianne" w:hAnsi="Marianne"/>
      <w:sz w:val="20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pPr>
      <w:spacing w:before="120" w:line="240" w:lineRule="auto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Pr>
      <w:rFonts w:ascii="Arial Narrow" w:eastAsia="Times New Roman" w:hAnsi="Arial Narrow" w:cs="Times New Roman"/>
      <w:sz w:val="24"/>
      <w:szCs w:val="24"/>
      <w:lang w:eastAsia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cs="Arial"/>
      <w:b/>
      <w:bCs/>
      <w:sz w:val="24"/>
      <w:szCs w:val="24"/>
      <w:lang w:val="en-US"/>
    </w:rPr>
  </w:style>
  <w:style w:type="character" w:customStyle="1" w:styleId="IntituldirectionCar">
    <w:name w:val="Intitulé direction Car"/>
    <w:basedOn w:val="En-tteCar"/>
    <w:link w:val="Intituldirection"/>
    <w:rPr>
      <w:rFonts w:ascii="Marianne" w:hAnsi="Marianne" w:cs="Arial"/>
      <w:b/>
      <w:bCs/>
      <w:sz w:val="24"/>
      <w:szCs w:val="24"/>
      <w:lang w:val="en-US"/>
    </w:rPr>
  </w:style>
  <w:style w:type="character" w:customStyle="1" w:styleId="StandardCar">
    <w:name w:val="Standard Car"/>
    <w:basedOn w:val="Policepardfaut"/>
    <w:link w:val="Standard"/>
    <w:qFormat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western">
    <w:name w:val="western"/>
    <w:basedOn w:val="Normal"/>
    <w:uiPriority w:val="99"/>
    <w:pPr>
      <w:spacing w:before="57" w:after="0" w:line="240" w:lineRule="auto"/>
    </w:pPr>
    <w:rPr>
      <w:rFonts w:ascii="Arial" w:eastAsia="Times New Roman" w:hAnsi="Arial" w:cs="Arial"/>
      <w:szCs w:val="20"/>
      <w:lang w:eastAsia="fr-FR"/>
    </w:rPr>
  </w:style>
  <w:style w:type="character" w:styleId="Numrodepage">
    <w:name w:val="page number"/>
    <w:basedOn w:val="Policepardfaut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Marianne" w:hAnsi="Marianne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Marianne" w:hAnsi="Marianne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317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MAITRE Rosanna</dc:creator>
  <cp:keywords/>
  <dc:description/>
  <cp:lastModifiedBy>RICHONNIER Elodie</cp:lastModifiedBy>
  <cp:revision>4</cp:revision>
  <dcterms:created xsi:type="dcterms:W3CDTF">2024-09-27T14:07:00Z</dcterms:created>
  <dcterms:modified xsi:type="dcterms:W3CDTF">2024-10-18T14:14:00Z</dcterms:modified>
</cp:coreProperties>
</file>